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keepNext/>
      </w:pPr>
      <w:r>
        <w:t>VIRGINIA GREEN DATA CENTER INITIATIVE</w:t>
      </w:r>
    </w:p>
    <w:p>
      <w:pPr>
        <w:pStyle w:val="ProjectTitle"/>
        <w:keepNext/>
      </w:pPr>
      <w:r>
        <w:t>Virginia Data Center Innovation</w:t>
        <w:br/>
        <w:t>and Accountability Act</w:t>
      </w:r>
    </w:p>
    <w:p>
      <w:pPr>
        <w:pStyle w:val="ProjectSubtitle"/>
        <w:keepNext/>
      </w:pPr>
      <w:r>
        <w:t>Powering innovation. Protecting Virginia.</w:t>
      </w:r>
    </w:p>
    <w:p>
      <w:pPr>
        <w:pStyle w:val="DirectoryText"/>
        <w:keepNext/>
      </w:pPr>
      <w:r>
        <w:rPr>
          <w:b/>
        </w:rPr>
        <w:t xml:space="preserve">Policy originator and project lead: </w:t>
      </w:r>
      <w:r>
        <w:t>Brianna O'Keeffe | Hanover County, Virginia</w:t>
      </w:r>
    </w:p>
    <w:p>
      <w:pPr>
        <w:pStyle w:val="DirectoryText"/>
        <w:keepNext/>
        <w:spacing w:after="160"/>
      </w:pPr>
      <w:r>
        <w:t>Policy review brief v2.3 | September 9, 2026 | Proposed for 2027 legislation</w:t>
      </w:r>
    </w:p>
    <w:p>
      <w:pPr>
        <w:pStyle w:val="BriefLead"/>
        <w:shd w:fill="EAF2ED" w:val="clear"/>
        <w:pBdr>
          <w:top w:val="single" w:sz="1" w:color="EAF2ED" w:space="7"/>
          <w:left w:val="single" w:sz="18" w:color="174C42" w:space="7"/>
          <w:bottom w:val="single" w:sz="1" w:color="EAF2ED" w:space="7"/>
          <w:right w:val="single" w:sz="1" w:color="EAF2ED" w:space="7"/>
        </w:pBdr>
        <w:ind w:left="160" w:right="160"/>
      </w:pPr>
      <w:r>
        <w:t>Virginia should set the national standard for data center growth that strengthens its economy and protects the communities powering it. Require clear resource commitments before construction and independently verified results before awarding additional incentives.</w:t>
      </w:r>
    </w:p>
    <w:p>
      <w:pPr>
        <w:pStyle w:val="Heading2"/>
      </w:pPr>
      <w:r>
        <w:t>Why act now?</w:t>
      </w:r>
    </w:p>
    <w:p>
      <w:pPr>
        <w:pStyle w:val="ActionText"/>
      </w:pPr>
      <w:r>
        <w:t>JLARC’s 2024 review identified substantial economic benefits and major electricity-supply challenges. It estimated $928 million in data center exemption savings in FY2023. Virginia can build on its newer safeguards by connecting public incentives to measurable resource improvements. [1–3]</w:t>
      </w:r>
    </w:p>
    <w:p>
      <w:pPr>
        <w:pStyle w:val="Heading2"/>
      </w:pPr>
      <w:r>
        <w:t>Four commitments Virginia can put into practice</w:t>
      </w:r>
    </w:p>
    <w:p>
      <w:pPr>
        <w:pStyle w:val="BriefCommitment"/>
        <w:numPr>
          <w:ilvl w:val="0"/>
          <w:numId w:val="11"/>
        </w:numPr>
      </w:pPr>
      <w:r>
        <w:rPr>
          <w:b/>
          <w:color w:val="174C42"/>
        </w:rPr>
        <w:t xml:space="preserve">Plan before building. </w:t>
      </w:r>
      <w:r>
        <w:t>Require new campuses designed for at least 25 MW to submit phased power, water, noise, and safety plans. Confirm service readiness before each operating phase.</w:t>
      </w:r>
    </w:p>
    <w:p>
      <w:pPr>
        <w:pStyle w:val="BriefCommitment"/>
        <w:numPr>
          <w:ilvl w:val="0"/>
          <w:numId w:val="11"/>
        </w:numPr>
      </w:pPr>
      <w:r>
        <w:rPr>
          <w:b/>
          <w:color w:val="174C42"/>
        </w:rPr>
        <w:t xml:space="preserve">Make performance visible. </w:t>
      </w:r>
      <w:r>
        <w:t>Verify efficiency independently and report actual electricity use, peak demand, and annual and peak-day water use, with protected information handled appropriately. Evaluate cooling against local water and drought conditions.</w:t>
      </w:r>
    </w:p>
    <w:p>
      <w:pPr>
        <w:pStyle w:val="BriefCommitment"/>
        <w:numPr>
          <w:ilvl w:val="0"/>
          <w:numId w:val="11"/>
        </w:numPr>
      </w:pPr>
      <w:r>
        <w:rPr>
          <w:b/>
          <w:color w:val="174C42"/>
        </w:rPr>
        <w:t xml:space="preserve">Reduce pressure at peak demand. </w:t>
      </w:r>
      <w:r>
        <w:t>Require a practical flexibility plan. Reward demonstrated load shifting and qualifying noncombustion resources, with critical services, emergency reserves, and safe recovery protected.</w:t>
      </w:r>
    </w:p>
    <w:p>
      <w:pPr>
        <w:pStyle w:val="BriefCommitment"/>
        <w:numPr>
          <w:ilvl w:val="0"/>
          <w:numId w:val="11"/>
        </w:numPr>
      </w:pPr>
      <w:r>
        <w:rPr>
          <w:b/>
          <w:color w:val="174C42"/>
        </w:rPr>
        <w:t xml:space="preserve">Make additional incentives earn their value. </w:t>
      </w:r>
      <w:r>
        <w:t>Offer a proposed 20% nonrefundable credit for eligible incremental improvements. Cap awards at $2 million per project, $5 million per affiliated group per cohort, and $25 million statewide per annual cohort in 2029–2033. Issue credits after verified performance; audit results and recover benefits when conditions fail.</w:t>
      </w:r>
    </w:p>
    <w:p>
      <w:pPr>
        <w:pStyle w:val="ActionText"/>
      </w:pPr>
      <w:r>
        <w:t>Support credible renewable procurement and tested innovations in cooling, storage, solid-state transformers, and DC distribution. Evaluate nuclear licensing, delivery, water needs, and cost responsibility separately. Annual renewable certificates alone do not establish round-the-clock clean supply.</w:t>
      </w:r>
    </w:p>
    <w:p>
      <w:pPr>
        <w:pStyle w:val="ActionText"/>
      </w:pPr>
      <w:r>
        <w:t>Protect existing agreements; apply new exemption conditions prospectively from 2029. Review final thresholds, staffing, and fiscal effects formally. Efficiency and flexibility complement necessary power supply and transmission.</w:t>
      </w:r>
    </w:p>
    <w:p>
      <w:pPr>
        <w:pStyle w:val="Heading2"/>
      </w:pPr>
      <w:r>
        <w:t>The next step</w:t>
      </w:r>
    </w:p>
    <w:p>
      <w:pPr>
        <w:pStyle w:val="ActionText"/>
      </w:pPr>
      <w:r>
        <w:t>Please designate a staff lead for a 20-minute discussion and identify a workable review and drafting path for 2027. The citizen bill, current-law comparison, and targeted technical questions are available.</w:t>
      </w:r>
    </w:p>
    <w:p>
      <w:pPr>
        <w:pStyle w:val="BriefContact"/>
        <w:shd w:fill="EAF2ED" w:val="clear"/>
        <w:pBdr>
          <w:top w:val="single" w:sz="1" w:color="EAF2ED" w:space="5"/>
          <w:left w:val="single" w:sz="1" w:color="EAF2ED" w:space="5"/>
          <w:bottom w:val="single" w:sz="1" w:color="EAF2ED" w:space="5"/>
          <w:right w:val="single" w:sz="1" w:color="EAF2ED" w:space="5"/>
        </w:pBdr>
        <w:ind w:left="120" w:right="120"/>
      </w:pPr>
      <w:r>
        <w:rPr>
          <w:b/>
        </w:rPr>
        <w:t xml:space="preserve">Contact: </w:t>
      </w:r>
      <w:r>
        <w:t>Brianna O'Keeffe | briannaokeeffe247@gmail.com</w:t>
      </w:r>
    </w:p>
    <w:p>
      <w:pPr>
        <w:pStyle w:val="SourceText"/>
      </w:pPr>
      <w:hyperlink r:id="rId76">
        <w:r>
          <w:rPr>
            <w:u w:val="single"/>
            <w:color w:val="174C42"/>
          </w:rPr>
          <w:t>[1] JLARC, Data Centers in Virginia (2024)</w:t>
        </w:r>
      </w:hyperlink>
      <w:r>
        <w:rPr>
          <w:color w:val="174C42"/>
        </w:rPr>
        <w:t xml:space="preserve"> · </w:t>
      </w:r>
      <w:hyperlink r:id="rId14">
        <w:r>
          <w:rPr>
            <w:u w:val="single"/>
            <w:color w:val="174C42"/>
          </w:rPr>
          <w:t>[2] Va. Code § 56-596.7</w:t>
        </w:r>
      </w:hyperlink>
      <w:r>
        <w:rPr>
          <w:color w:val="174C42"/>
        </w:rPr>
        <w:t xml:space="preserve"> · </w:t>
      </w:r>
      <w:hyperlink r:id="rId15">
        <w:r>
          <w:rPr>
            <w:u w:val="single"/>
            <w:color w:val="174C42"/>
          </w:rPr>
          <w:t>[3] § 15.2-2209.5</w:t>
        </w:r>
      </w:hyperlink>
    </w:p>
    <w:p>
      <w:pPr>
        <w:pStyle w:val="SourceText"/>
      </w:pPr>
      <w:r>
        <w:t>Citizen proposal; not introduced legislation. Please retain the originator acknowledgment when circulating this brief and credit subsequent contributors for their work.</w:t>
      </w:r>
    </w:p>
    <w:sectPr w:rsidR="00FC693F" w:rsidRPr="0006063C" w:rsidSect="00034616">
      <w:headerReference w:type="default" r:id="rId9"/>
      <w:footerReference w:type="default" r:id="rId10"/>
      <w:pgSz w:w="12240" w:h="15840"/>
      <w:pgMar w:top="979" w:right="1037" w:bottom="936" w:left="1037"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BriefFooter"/>
      <w:jc w:val="right"/>
    </w:pPr>
    <w:r>
      <w:rPr>
        <w:rFonts w:ascii="Calibri" w:hAnsi="Calibri"/>
        <w:color w:val="576960"/>
        <w:sz w:val="16"/>
      </w:rPr>
      <w:t xml:space="preserve">Citizen discussion draft • September 9,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ind w:left="720" w:hanging="360"/>
        <w:tabs>
          <w:tab w:val="num" w:pos="720"/>
        </w:tabs>
        <w:spacing w:before="0" w:after="160" w:line="280" w:lineRule="auto"/>
      </w:pPr>
    </w:lvl>
  </w:abstractNum>
  <w:num w:numId="10">
    <w:abstractNumId w:val="9"/>
  </w:num>
  <w:abstractNum w:abstractNumId="10">
    <w:multiLevelType w:val="singleLevel"/>
    <w:lvl w:ilvl="0">
      <w:start w:val="1"/>
      <w:numFmt w:val="decimalZero"/>
      <w:lvlText w:val="%1"/>
      <w:lvlJc w:val="left"/>
      <w:suff w:val="tab"/>
      <w:pPr>
        <w:ind w:left="403" w:hanging="403"/>
        <w:tabs>
          <w:tab w:val="num" w:pos="403"/>
        </w:tabs>
      </w:pPr>
      <w:rPr>
        <w:color w:val="174C42"/>
        <w:sz w:val="22"/>
        <w:b/>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widowControl/>
      <w:spacing w:before="0" w:after="100" w:line="259" w:lineRule="auto"/>
      <w:ind w:left="0" w:right="0" w:firstLine="0"/>
    </w:pPr>
    <w:rPr>
      <w:rFonts w:ascii="Calibri" w:hAnsi="Calibri"/>
      <w:b w:val="0"/>
      <w:i w:val="0"/>
      <w:color w:val="2437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20" w:line="259" w:lineRule="auto"/>
      <w:ind w:left="0" w:right="0" w:firstLine="0"/>
      <w:outlineLvl w:val="0"/>
    </w:pPr>
    <w:rPr>
      <w:rFonts w:asciiTheme="majorHAnsi" w:eastAsiaTheme="majorEastAsia" w:hAnsiTheme="majorHAnsi" w:cstheme="majorBidi" w:ascii="Calibri" w:hAnsi="Calibri"/>
      <w:b/>
      <w:bCs/>
      <w:i w:val="0"/>
      <w:color w:val="174C42"/>
      <w:sz w:val="28"/>
      <w:szCs w:val="28"/>
    </w:rPr>
  </w:style>
  <w:style w:type="paragraph" w:styleId="Heading2">
    <w:name w:val="heading 2"/>
    <w:basedOn w:val="Normal"/>
    <w:next w:val="Normal"/>
    <w:link w:val="Heading2Char"/>
    <w:uiPriority w:val="9"/>
    <w:unhideWhenUsed/>
    <w:qFormat/>
    <w:rsid w:val="00FC693F"/>
    <w:pPr>
      <w:keepNext/>
      <w:keepLines/>
      <w:widowControl/>
      <w:spacing w:before="180" w:after="80" w:line="259" w:lineRule="auto"/>
      <w:ind w:left="0" w:right="0" w:firstLine="0"/>
      <w:outlineLvl w:val="1"/>
    </w:pPr>
    <w:rPr>
      <w:rFonts w:asciiTheme="majorHAnsi" w:eastAsiaTheme="majorEastAsia" w:hAnsiTheme="majorHAnsi" w:cstheme="majorBidi" w:ascii="Calibri" w:hAnsi="Calibri"/>
      <w:b/>
      <w:bCs/>
      <w:i w:val="0"/>
      <w:color w:val="174C42"/>
      <w:sz w:val="24"/>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59" w:lineRule="auto"/>
      <w:ind w:left="0" w:right="0" w:firstLine="0"/>
      <w:outlineLvl w:val="2"/>
    </w:pPr>
    <w:rPr>
      <w:rFonts w:asciiTheme="majorHAnsi" w:eastAsiaTheme="majorEastAsia" w:hAnsiTheme="majorHAnsi" w:cstheme="majorBidi" w:ascii="Calibri" w:hAnsi="Calibri"/>
      <w:b/>
      <w:bCs/>
      <w:i w:val="0"/>
      <w:color w:val="174C4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keepLines/>
      <w:widowControl/>
      <w:pBdr>
        <w:bottom w:val="single" w:sz="8" w:space="4" w:color="4F81BD" w:themeColor="accent1"/>
      </w:pBdr>
      <w:spacing w:after="120" w:line="240" w:lineRule="auto" w:before="0"/>
      <w:ind w:left="0" w:right="0" w:firstLine="0"/>
      <w:contextualSpacing/>
    </w:pPr>
    <w:rPr>
      <w:rFonts w:asciiTheme="majorHAnsi" w:eastAsiaTheme="majorEastAsia" w:hAnsiTheme="majorHAnsi" w:cstheme="majorBidi" w:ascii="Calibri" w:hAnsi="Calibri"/>
      <w:b/>
      <w:i w:val="0"/>
      <w:color w:val="174C42"/>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keepLines/>
      <w:widowControl/>
      <w:numPr>
        <w:ilvl w:val="1"/>
      </w:numPr>
      <w:spacing w:before="0" w:after="200" w:line="247" w:lineRule="auto"/>
      <w:ind w:left="0" w:right="0" w:firstLine="0"/>
    </w:pPr>
    <w:rPr>
      <w:rFonts w:asciiTheme="majorHAnsi" w:eastAsiaTheme="majorEastAsia" w:hAnsiTheme="majorHAnsi" w:cstheme="majorBidi" w:ascii="Calibri" w:hAnsi="Calibri"/>
      <w:b w:val="0"/>
      <w:i w:val="0"/>
      <w:iCs/>
      <w:color w:val="174C42"/>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rectoryText">
    <w:name w:val="DirectoryText"/>
    <w:pPr>
      <w:keepNext w:val="0"/>
      <w:keepLines/>
      <w:widowControl/>
      <w:spacing w:before="0" w:after="60" w:line="250" w:lineRule="auto"/>
      <w:ind w:left="0" w:right="0" w:firstLine="0"/>
    </w:pPr>
    <w:rPr>
      <w:rFonts w:ascii="Calibri" w:hAnsi="Calibri"/>
      <w:b w:val="0"/>
      <w:i w:val="0"/>
      <w:color w:val="576960"/>
      <w:sz w:val="18"/>
    </w:rPr>
  </w:style>
  <w:style w:type="paragraph" w:customStyle="1" w:styleId="SourceText">
    <w:name w:val="SourceText"/>
    <w:pPr>
      <w:keepNext w:val="0"/>
      <w:keepLines/>
      <w:widowControl/>
      <w:spacing w:before="0" w:after="60" w:line="252" w:lineRule="auto"/>
      <w:ind w:left="0" w:right="0" w:firstLine="0"/>
    </w:pPr>
    <w:rPr>
      <w:rFonts w:ascii="Calibri" w:hAnsi="Calibri"/>
      <w:b w:val="0"/>
      <w:i w:val="0"/>
      <w:color w:val="576960"/>
      <w:sz w:val="16"/>
    </w:rPr>
  </w:style>
  <w:style w:type="paragraph" w:customStyle="1" w:styleId="CompactTable">
    <w:name w:val="CompactTable"/>
    <w:pPr>
      <w:widowControl/>
      <w:spacing w:before="0" w:after="60" w:line="240" w:lineRule="auto"/>
    </w:pPr>
    <w:rPr>
      <w:rFonts w:ascii="Calibri" w:hAnsi="Calibri"/>
      <w:b w:val="0"/>
      <w:color w:val="202830"/>
      <w:sz w:val="19"/>
    </w:rPr>
  </w:style>
  <w:style w:type="paragraph" w:customStyle="1" w:styleId="TableCitation">
    <w:name w:val="TableCitation"/>
    <w:pPr>
      <w:widowControl/>
      <w:spacing w:before="80" w:after="80" w:line="264" w:lineRule="auto"/>
    </w:pPr>
    <w:rPr>
      <w:rFonts w:ascii="Calibri" w:hAnsi="Calibri"/>
      <w:b w:val="0"/>
      <w:color w:val="202830"/>
      <w:sz w:val="18"/>
    </w:rPr>
  </w:style>
  <w:style w:type="paragraph" w:customStyle="1" w:styleId="ProjectList">
    <w:name w:val="ProjectList"/>
    <w:pPr>
      <w:widowControl/>
      <w:spacing w:before="0" w:after="160" w:line="280" w:lineRule="auto"/>
      <w:ind w:left="720" w:hanging="360"/>
    </w:pPr>
    <w:rPr>
      <w:rFonts w:ascii="Calibri" w:hAnsi="Calibri"/>
      <w:b w:val="0"/>
      <w:color w:val="202830"/>
      <w:sz w:val="22"/>
    </w:rPr>
  </w:style>
  <w:style w:type="paragraph" w:customStyle="1" w:styleId="Kicker">
    <w:name w:val="Kicker"/>
    <w:pPr>
      <w:keepNext w:val="0"/>
      <w:keepLines/>
      <w:widowControl/>
      <w:spacing w:before="0" w:after="120" w:line="240" w:lineRule="auto"/>
      <w:ind w:left="0" w:right="0" w:firstLine="0"/>
    </w:pPr>
    <w:rPr>
      <w:rFonts w:ascii="Calibri" w:hAnsi="Calibri"/>
      <w:b/>
      <w:i w:val="0"/>
      <w:color w:val="174C42"/>
      <w:sz w:val="19"/>
    </w:rPr>
  </w:style>
  <w:style w:type="paragraph" w:customStyle="1" w:styleId="ProjectTitle">
    <w:name w:val="ProjectTitle"/>
    <w:pPr>
      <w:keepNext w:val="0"/>
      <w:keepLines/>
      <w:widowControl/>
      <w:spacing w:before="0" w:after="120" w:line="240" w:lineRule="auto"/>
      <w:ind w:left="0" w:right="0" w:firstLine="0"/>
    </w:pPr>
    <w:rPr>
      <w:rFonts w:ascii="Calibri" w:hAnsi="Calibri"/>
      <w:b/>
      <w:i w:val="0"/>
      <w:color w:val="174C42"/>
      <w:sz w:val="48"/>
    </w:rPr>
  </w:style>
  <w:style w:type="paragraph" w:customStyle="1" w:styleId="ProjectSubtitle">
    <w:name w:val="ProjectSubtitle"/>
    <w:pPr>
      <w:keepNext w:val="0"/>
      <w:keepLines/>
      <w:widowControl/>
      <w:spacing w:before="0" w:after="200" w:line="247" w:lineRule="auto"/>
      <w:ind w:left="0" w:right="0" w:firstLine="0"/>
    </w:pPr>
    <w:rPr>
      <w:rFonts w:ascii="Calibri" w:hAnsi="Calibri"/>
      <w:b w:val="0"/>
      <w:i w:val="0"/>
      <w:color w:val="174C42"/>
      <w:sz w:val="23"/>
    </w:rPr>
  </w:style>
  <w:style w:type="paragraph" w:customStyle="1" w:styleId="ActionText">
    <w:name w:val="ActionText"/>
    <w:pPr>
      <w:keepNext w:val="0"/>
      <w:keepLines/>
      <w:widowControl/>
      <w:spacing w:before="0" w:after="100" w:line="259" w:lineRule="auto"/>
      <w:ind w:left="0" w:right="0" w:firstLine="0"/>
    </w:pPr>
    <w:rPr>
      <w:rFonts w:ascii="Calibri" w:hAnsi="Calibri"/>
      <w:b w:val="0"/>
      <w:i w:val="0"/>
      <w:color w:val="243730"/>
      <w:sz w:val="21"/>
    </w:rPr>
  </w:style>
  <w:style w:type="paragraph" w:customStyle="1" w:styleId="EmailText">
    <w:name w:val="EmailText"/>
    <w:pPr>
      <w:widowControl/>
      <w:spacing w:before="0" w:after="120" w:line="252" w:lineRule="auto"/>
    </w:pPr>
    <w:rPr>
      <w:rFonts w:ascii="Calibri" w:hAnsi="Calibri"/>
      <w:b w:val="0"/>
      <w:color w:val="202830"/>
      <w:sz w:val="21"/>
    </w:rPr>
  </w:style>
  <w:style w:type="paragraph" w:customStyle="1" w:styleId="BriefLead">
    <w:name w:val="Brief Lead"/>
    <w:pPr>
      <w:keepNext w:val="0"/>
      <w:keepLines/>
      <w:widowControl/>
      <w:spacing w:before="120" w:after="160" w:line="264" w:lineRule="auto"/>
      <w:ind w:left="0" w:right="0" w:firstLine="0"/>
    </w:pPr>
    <w:rPr>
      <w:rFonts w:ascii="Calibri" w:hAnsi="Calibri"/>
      <w:b w:val="0"/>
      <w:i w:val="0"/>
      <w:color w:val="174C42"/>
      <w:sz w:val="22"/>
    </w:rPr>
  </w:style>
  <w:style w:type="paragraph" w:customStyle="1" w:styleId="BriefCommitment">
    <w:name w:val="Brief Commitment"/>
    <w:pPr>
      <w:keepNext w:val="0"/>
      <w:keepLines/>
      <w:widowControl/>
      <w:spacing w:before="0" w:after="120" w:line="259" w:lineRule="auto"/>
      <w:ind w:left="403" w:right="0" w:hanging="403"/>
    </w:pPr>
    <w:rPr>
      <w:rFonts w:ascii="Calibri" w:hAnsi="Calibri"/>
      <w:b w:val="0"/>
      <w:i w:val="0"/>
      <w:color w:val="243730"/>
      <w:sz w:val="21"/>
    </w:rPr>
  </w:style>
  <w:style w:type="paragraph" w:customStyle="1" w:styleId="BriefContact">
    <w:name w:val="Brief Contact"/>
    <w:pPr>
      <w:keepNext w:val="0"/>
      <w:keepLines/>
      <w:widowControl/>
      <w:spacing w:before="120" w:after="120" w:line="250" w:lineRule="auto"/>
      <w:ind w:left="0" w:right="0" w:firstLine="0"/>
    </w:pPr>
    <w:rPr>
      <w:rFonts w:ascii="Calibri" w:hAnsi="Calibri"/>
      <w:b w:val="0"/>
      <w:i w:val="0"/>
      <w:color w:val="174C42"/>
      <w:sz w:val="20"/>
    </w:rPr>
  </w:style>
  <w:style w:type="paragraph" w:customStyle="1" w:styleId="BriefFooter">
    <w:name w:val="Brief Footer"/>
    <w:pPr>
      <w:keepNext w:val="0"/>
      <w:keepLines/>
      <w:widowControl/>
      <w:spacing w:before="0" w:after="0" w:line="240" w:lineRule="auto"/>
      <w:ind w:left="0" w:right="0" w:firstLine="0"/>
    </w:pPr>
    <w:rPr>
      <w:rFonts w:ascii="Calibri" w:hAnsi="Calibri"/>
      <w:b w:val="0"/>
      <w:i w:val="0"/>
      <w:color w:val="5769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hosmy.virginiageneralassembly.gov/" TargetMode="External"/><Relationship Id="rId12" Type="http://schemas.openxmlformats.org/officeDocument/2006/relationships/hyperlink" Target="https://dls.virginia.gov/pubs/calendar/cal2027_1.pdf" TargetMode="External"/><Relationship Id="rId13" Type="http://schemas.openxmlformats.org/officeDocument/2006/relationships/hyperlink" Target="https://dls.virginia.gov/" TargetMode="External"/><Relationship Id="rId14" Type="http://schemas.openxmlformats.org/officeDocument/2006/relationships/hyperlink" Target="https://law.lis.virginia.gov/vacode/title56/chapter23/section56-596.7/" TargetMode="External"/><Relationship Id="rId15" Type="http://schemas.openxmlformats.org/officeDocument/2006/relationships/hyperlink" Target="https://law.lis.virginia.gov/vacode/title15.2/chapter22/section15.2-2209.5/" TargetMode="External"/><Relationship Id="rId16" Type="http://schemas.openxmlformats.org/officeDocument/2006/relationships/hyperlink" Target="https://law.lis.virginia.gov/vacode/title10.1/chapter13/section10.1-1322.6/" TargetMode="External"/><Relationship Id="rId17" Type="http://schemas.openxmlformats.org/officeDocument/2006/relationships/hyperlink" Target="https://investors.dominionenergy.com/news/press-release-details/2026/Dominion-Energy-Announces-Second-Quarter-2026-Results/default.aspx" TargetMode="External"/><Relationship Id="rId18" Type="http://schemas.openxmlformats.org/officeDocument/2006/relationships/hyperlink" Target="https://www.scc.virginia.gov/about-the-scc/dominion-nextera-merger-updates/" TargetMode="External"/><Relationship Id="rId19" Type="http://schemas.openxmlformats.org/officeDocument/2006/relationships/hyperlink" Target="mailto:DelBFowler@house.virginia.gov" TargetMode="External"/><Relationship Id="rId20" Type="http://schemas.openxmlformats.org/officeDocument/2006/relationships/hyperlink" Target="https://house.vga.virginia.gov/members/H0259" TargetMode="External"/><Relationship Id="rId21" Type="http://schemas.openxmlformats.org/officeDocument/2006/relationships/hyperlink" Target="mailto:senatormcdougle@senate.virginia.gov" TargetMode="External"/><Relationship Id="rId22" Type="http://schemas.openxmlformats.org/officeDocument/2006/relationships/hyperlink" Target="https://apps.senate.virginia.gov/Senator/memberpage.php?id=S69" TargetMode="External"/><Relationship Id="rId23" Type="http://schemas.openxmlformats.org/officeDocument/2006/relationships/hyperlink" Target="mailto:senatordeeds@senate.virginia.gov" TargetMode="External"/><Relationship Id="rId24" Type="http://schemas.openxmlformats.org/officeDocument/2006/relationships/hyperlink" Target="https://apps.senate.virginia.gov/Senator/memberpage.php?id=S62" TargetMode="External"/><Relationship Id="rId25" Type="http://schemas.openxmlformats.org/officeDocument/2006/relationships/hyperlink" Target="mailto:senatorperry@senate.virginia.gov" TargetMode="External"/><Relationship Id="rId26" Type="http://schemas.openxmlformats.org/officeDocument/2006/relationships/hyperlink" Target="https://apps.senate.virginia.gov/Senator/memberpage.php?id=S125" TargetMode="External"/><Relationship Id="rId27" Type="http://schemas.openxmlformats.org/officeDocument/2006/relationships/hyperlink" Target="mailto:DelRSullivan@house.virginia.gov" TargetMode="External"/><Relationship Id="rId28" Type="http://schemas.openxmlformats.org/officeDocument/2006/relationships/hyperlink" Target="https://house.vga.virginia.gov/members/H0269" TargetMode="External"/><Relationship Id="rId29" Type="http://schemas.openxmlformats.org/officeDocument/2006/relationships/hyperlink" Target="mailto:UtilityReg@scc.virginia.gov" TargetMode="External"/><Relationship Id="rId30" Type="http://schemas.openxmlformats.org/officeDocument/2006/relationships/hyperlink" Target="https://www.scc.virginia.gov/regulated-industries/utility-regulation/" TargetMode="External"/><Relationship Id="rId31" Type="http://schemas.openxmlformats.org/officeDocument/2006/relationships/hyperlink" Target="mailto:vaenergy@energy.virginia.gov" TargetMode="External"/><Relationship Id="rId32" Type="http://schemas.openxmlformats.org/officeDocument/2006/relationships/hyperlink" Target="https://energy.virginia.gov/administration/contact-us.shtml" TargetMode="External"/><Relationship Id="rId33" Type="http://schemas.openxmlformats.org/officeDocument/2006/relationships/hyperlink" Target="mailto:Communications@DEQ.Virginia.gov" TargetMode="External"/><Relationship Id="rId34" Type="http://schemas.openxmlformats.org/officeDocument/2006/relationships/hyperlink" Target="https://www.deq.virginia.gov/news-info/contact-us/central-office" TargetMode="External"/><Relationship Id="rId35" Type="http://schemas.openxmlformats.org/officeDocument/2006/relationships/hyperlink" Target="mailto:info@vedp.org" TargetMode="External"/><Relationship Id="rId36" Type="http://schemas.openxmlformats.org/officeDocument/2006/relationships/hyperlink" Target="https://www.vedp.org/contact-us" TargetMode="External"/><Relationship Id="rId37" Type="http://schemas.openxmlformats.org/officeDocument/2006/relationships/hyperlink" Target="https://www.tax.virginia.gov/contact-us" TargetMode="External"/><Relationship Id="rId38" Type="http://schemas.openxmlformats.org/officeDocument/2006/relationships/hyperlink" Target="mailto:gmiloshevsky@vcu.edu" TargetMode="External"/><Relationship Id="rId39" Type="http://schemas.openxmlformats.org/officeDocument/2006/relationships/hyperlink" Target="https://egr.vcu.edu/departments/mechanical-nuclear-engineering/engage/contact/" TargetMode="External"/><Relationship Id="rId40" Type="http://schemas.openxmlformats.org/officeDocument/2006/relationships/hyperlink" Target="mailto:haghighat@vt.edu" TargetMode="External"/><Relationship Id="rId41" Type="http://schemas.openxmlformats.org/officeDocument/2006/relationships/hyperlink" Target="https://me.vt.edu/people/faculty/haghighat-alireza.html" TargetMode="External"/><Relationship Id="rId42" Type="http://schemas.openxmlformats.org/officeDocument/2006/relationships/hyperlink" Target="mailto:sschmid@vt.edu" TargetMode="External"/><Relationship Id="rId43" Type="http://schemas.openxmlformats.org/officeDocument/2006/relationships/hyperlink" Target="https://liberalarts.vt.edu/departments-and-schools/department-of-science-technology-and-society/academic-programs/science-and-technology-studies-graduate-certificate-nuclear-science.html" TargetMode="External"/><Relationship Id="rId44" Type="http://schemas.openxmlformats.org/officeDocument/2006/relationships/hyperlink" Target="mailto:dgrove@vt.edu" TargetMode="External"/><Relationship Id="rId45" Type="http://schemas.openxmlformats.org/officeDocument/2006/relationships/hyperlink" Target="https://cpes.vt.edu/about/contact_us" TargetMode="External"/><Relationship Id="rId46" Type="http://schemas.openxmlformats.org/officeDocument/2006/relationships/hyperlink" Target="mailto:David.Gasperson@nrc.gov" TargetMode="External"/><Relationship Id="rId47" Type="http://schemas.openxmlformats.org/officeDocument/2006/relationships/hyperlink" Target="https://www.nrc.gov/about-nrc/organization/opafuncdesc" TargetMode="External"/><Relationship Id="rId48" Type="http://schemas.openxmlformats.org/officeDocument/2006/relationships/hyperlink" Target="https://virginianuclear.org/contact-us/" TargetMode="External"/><Relationship Id="rId49" Type="http://schemas.openxmlformats.org/officeDocument/2006/relationships/hyperlink" Target="https://virginianuclear.org/about-vnec/leadership/" TargetMode="External"/><Relationship Id="rId50" Type="http://schemas.openxmlformats.org/officeDocument/2006/relationships/hyperlink" Target="https://www.hanovercounty.gov/194/Planning" TargetMode="External"/><Relationship Id="rId51" Type="http://schemas.openxmlformats.org/officeDocument/2006/relationships/hyperlink" Target="mailto:foprichard@hanovercounty.gov" TargetMode="External"/><Relationship Id="rId52" Type="http://schemas.openxmlformats.org/officeDocument/2006/relationships/hyperlink" Target="https://www.hanovercounty.gov/434/Ashland-District" TargetMode="External"/><Relationship Id="rId53" Type="http://schemas.openxmlformats.org/officeDocument/2006/relationships/hyperlink" Target="https://www.hanovercounty.gov/427/Board-of-Supervisors" TargetMode="External"/><Relationship Id="rId54" Type="http://schemas.openxmlformats.org/officeDocument/2006/relationships/hyperlink" Target="https://www.hanovercounty.gov/m/directory/department?did=66" TargetMode="External"/><Relationship Id="rId55" Type="http://schemas.openxmlformats.org/officeDocument/2006/relationships/hyperlink" Target="mailto:custsvc@pjm.com" TargetMode="External"/><Relationship Id="rId56" Type="http://schemas.openxmlformats.org/officeDocument/2006/relationships/hyperlink" Target="https://insidelines.pjm.com/contact-us/" TargetMode="External"/><Relationship Id="rId57" Type="http://schemas.openxmlformats.org/officeDocument/2006/relationships/hyperlink" Target="https://www.vdh.virginia.gov/radiological-health/radiological-health/materials/" TargetMode="External"/><Relationship Id="rId58" Type="http://schemas.openxmlformats.org/officeDocument/2006/relationships/hyperlink" Target="https://www.governor.virginia.gov/constituent-services/contact-the-governors-office/" TargetMode="External"/><Relationship Id="rId59" Type="http://schemas.openxmlformats.org/officeDocument/2006/relationships/hyperlink" Target="https://www.governor.virginia.gov/constituent-services/" TargetMode="External"/><Relationship Id="rId60" Type="http://schemas.openxmlformats.org/officeDocument/2006/relationships/hyperlink" Target="mailto:vcn@vcnva.org" TargetMode="External"/><Relationship Id="rId61" Type="http://schemas.openxmlformats.org/officeDocument/2006/relationships/hyperlink" Target="https://vcnva.org/contact-us/" TargetMode="External"/><Relationship Id="rId62" Type="http://schemas.openxmlformats.org/officeDocument/2006/relationships/hyperlink" Target="https://energy.virginia.gov/va-energy-plan.shtml" TargetMode="External"/><Relationship Id="rId63" Type="http://schemas.openxmlformats.org/officeDocument/2006/relationships/hyperlink" Target="https://www.hanovercounty.gov/1737/Data-Center-Ordinance" TargetMode="External"/><Relationship Id="rId64" Type="http://schemas.openxmlformats.org/officeDocument/2006/relationships/hyperlink" Target="https://vga.virginia.gov/engage/meeting-calendars-schedules/" TargetMode="External"/><Relationship Id="rId65" Type="http://schemas.openxmlformats.org/officeDocument/2006/relationships/hyperlink" Target="https://gain.inl.gov/content/uploads/4/2024/11/DOE-Advanced-Nuclear-Liftoff-Report.pdf" TargetMode="External"/><Relationship Id="rId66" Type="http://schemas.openxmlformats.org/officeDocument/2006/relationships/hyperlink" Target="https://www.nrc.gov/reactors/new-reactors/advanced" TargetMode="External"/><Relationship Id="rId67" Type="http://schemas.openxmlformats.org/officeDocument/2006/relationships/hyperlink" Target="https://www.nrc.gov/reading-rm/doc-collections/fact-sheets/radwaste" TargetMode="External"/><Relationship Id="rId68" Type="http://schemas.openxmlformats.org/officeDocument/2006/relationships/hyperlink" Target="https://investors.dominionenergy.com/news/press-release-details/2024/Dominion-Energy-and-Amazon-to-explore-advancement-of-Small-Modular-Reactor-SMR-nuclear-development-in-Virginia/default.aspx" TargetMode="External"/><Relationship Id="rId69" Type="http://schemas.openxmlformats.org/officeDocument/2006/relationships/hyperlink" Target="https://www.nrc.gov/reactors/new-reactors/large-lwr/col/north-anna" TargetMode="External"/><Relationship Id="rId70" Type="http://schemas.openxmlformats.org/officeDocument/2006/relationships/hyperlink" Target="https://www.federalregister.gov/documents/2026/03/30/2026-06048/risk-informed-technology-inclusive-regulatory-framework-for-advanced-reactors" TargetMode="External"/><Relationship Id="rId71" Type="http://schemas.openxmlformats.org/officeDocument/2006/relationships/hyperlink" Target="https://law.lis.virginia.gov/vacode/title58.1/chapter6/section58.1-609.3/" TargetMode="External"/><Relationship Id="rId72" Type="http://schemas.openxmlformats.org/officeDocument/2006/relationships/hyperlink" Target="https://www.scc.virginia.gov/regulated-industries/public-taxation/taxes-and-fees/" TargetMode="External"/><Relationship Id="rId73" Type="http://schemas.openxmlformats.org/officeDocument/2006/relationships/hyperlink" Target="https://law.lis.virginia.gov/vacode/title2.2/chapter4/section2.2-420/" TargetMode="External"/><Relationship Id="rId74" Type="http://schemas.openxmlformats.org/officeDocument/2006/relationships/hyperlink" Target="https://www.copyright.gov/help/faq/faq-general.html" TargetMode="External"/><Relationship Id="rId75" Type="http://schemas.openxmlformats.org/officeDocument/2006/relationships/hyperlink" Target="https://www.copyright.gov/comp3/chap300/ch300-copyrightable-authorship.pdf" TargetMode="External"/><Relationship Id="rId76" Type="http://schemas.openxmlformats.org/officeDocument/2006/relationships/hyperlink" Target="https://jlarc.virginia.gov/landing-2024-data-centers-in-virginia.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Data Center Innovation and Accountability Act</dc:title>
  <dc:subject>A citizen legislative proposal of the Virginia Green Data Center Initiative</dc:subject>
  <dc:creator>Brianna O'Keeffe</dc:creator>
  <cp:keywords>Virginia; data centers; citizen legislative proposal; nuclear; renewables; Brianna Harter</cp:keywords>
  <dc:description>Citizen proposal; AI-assisted research and drafting. Independent legal, fiscal and engineering review remains outstanding.</dc:description>
  <cp:lastModifiedBy>Brianna O'Keeffe</cp:lastModifiedBy>
  <cp:revision>1</cp:revision>
  <dcterms:created xsi:type="dcterms:W3CDTF">2013-12-23T23:15:00Z</dcterms:created>
  <dcterms:modified xsi:type="dcterms:W3CDTF">2013-12-23T23:15:00Z</dcterms:modified>
  <cp:category/>
</cp:coreProperties>
</file>